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C1E" w:rsidRDefault="00AC3C1E"/>
    <w:p w:rsidR="00AC3C1E" w:rsidRDefault="00AC3C1E" w:rsidP="00AC3C1E"/>
    <w:p w:rsidR="00AC3C1E" w:rsidRPr="00AC3C1E" w:rsidRDefault="00AC3C1E" w:rsidP="00AC3C1E">
      <w:pPr>
        <w:pStyle w:val="Heading1"/>
        <w:shd w:val="clear" w:color="auto" w:fill="E1615B"/>
        <w:spacing w:before="0" w:beforeAutospacing="0" w:after="0" w:afterAutospacing="0"/>
        <w:rPr>
          <w:rFonts w:ascii="Arial" w:hAnsi="Arial" w:cs="Arial"/>
          <w:b w:val="0"/>
          <w:bCs w:val="0"/>
          <w:color w:val="FFFFFF"/>
          <w:spacing w:val="20"/>
          <w:sz w:val="32"/>
          <w:szCs w:val="32"/>
        </w:rPr>
      </w:pPr>
      <w:r>
        <w:tab/>
      </w:r>
      <w:r w:rsidRPr="00AC3C1E">
        <w:rPr>
          <w:rFonts w:ascii="Arial" w:hAnsi="Arial" w:cs="Arial"/>
          <w:b w:val="0"/>
          <w:bCs w:val="0"/>
          <w:color w:val="FFFFFF"/>
          <w:spacing w:val="20"/>
          <w:sz w:val="32"/>
          <w:szCs w:val="32"/>
        </w:rPr>
        <w:t xml:space="preserve">Lucid </w:t>
      </w:r>
      <w:proofErr w:type="spellStart"/>
      <w:r w:rsidRPr="00AC3C1E">
        <w:rPr>
          <w:rFonts w:ascii="Arial" w:hAnsi="Arial" w:cs="Arial"/>
          <w:b w:val="0"/>
          <w:bCs w:val="0"/>
          <w:color w:val="FFFFFF"/>
          <w:spacing w:val="20"/>
          <w:sz w:val="32"/>
          <w:szCs w:val="32"/>
        </w:rPr>
        <w:t>CoPS</w:t>
      </w:r>
      <w:proofErr w:type="spellEnd"/>
      <w:r w:rsidRPr="00AC3C1E">
        <w:rPr>
          <w:rFonts w:ascii="Arial" w:hAnsi="Arial" w:cs="Arial"/>
          <w:b w:val="0"/>
          <w:bCs w:val="0"/>
          <w:color w:val="FFFFFF"/>
          <w:spacing w:val="20"/>
          <w:sz w:val="32"/>
          <w:szCs w:val="32"/>
        </w:rPr>
        <w:t xml:space="preserve"> 4-7</w:t>
      </w:r>
    </w:p>
    <w:p w:rsidR="00AC3C1E" w:rsidRPr="00AC3C1E" w:rsidRDefault="00AC3C1E" w:rsidP="00AC3C1E">
      <w:pPr>
        <w:numPr>
          <w:ilvl w:val="0"/>
          <w:numId w:val="2"/>
        </w:numPr>
        <w:shd w:val="clear" w:color="auto" w:fill="FFFFFF"/>
        <w:spacing w:before="100" w:beforeAutospacing="1" w:after="100" w:afterAutospacing="1" w:line="240" w:lineRule="auto"/>
        <w:rPr>
          <w:rFonts w:ascii="Arial" w:eastAsia="Times New Roman" w:hAnsi="Arial" w:cs="Arial"/>
          <w:color w:val="333333"/>
          <w:sz w:val="21"/>
          <w:szCs w:val="21"/>
          <w:lang w:eastAsia="en-GB"/>
        </w:rPr>
      </w:pPr>
      <w:r w:rsidRPr="00AC3C1E">
        <w:rPr>
          <w:rFonts w:ascii="Arial" w:eastAsia="Times New Roman" w:hAnsi="Arial" w:cs="Arial"/>
          <w:color w:val="333333"/>
          <w:sz w:val="21"/>
          <w:szCs w:val="21"/>
          <w:lang w:eastAsia="en-GB"/>
        </w:rPr>
        <w:t xml:space="preserve">The outcome of comprehensive research at the University of Hull and originally published in 1996, Lucid </w:t>
      </w:r>
      <w:proofErr w:type="spellStart"/>
      <w:r w:rsidRPr="00AC3C1E">
        <w:rPr>
          <w:rFonts w:ascii="Arial" w:eastAsia="Times New Roman" w:hAnsi="Arial" w:cs="Arial"/>
          <w:color w:val="333333"/>
          <w:sz w:val="21"/>
          <w:szCs w:val="21"/>
          <w:lang w:eastAsia="en-GB"/>
        </w:rPr>
        <w:t>CoPS</w:t>
      </w:r>
      <w:proofErr w:type="spellEnd"/>
      <w:r w:rsidRPr="00AC3C1E">
        <w:rPr>
          <w:rFonts w:ascii="Arial" w:eastAsia="Times New Roman" w:hAnsi="Arial" w:cs="Arial"/>
          <w:color w:val="333333"/>
          <w:sz w:val="21"/>
          <w:szCs w:val="21"/>
          <w:lang w:eastAsia="en-GB"/>
        </w:rPr>
        <w:t xml:space="preserve"> 4-7 is widely used by schools in the UK and internationally. </w:t>
      </w:r>
    </w:p>
    <w:p w:rsidR="00AC3C1E" w:rsidRPr="00AC3C1E" w:rsidRDefault="00AC3C1E" w:rsidP="00AC3C1E">
      <w:pPr>
        <w:shd w:val="clear" w:color="auto" w:fill="FFFFFF"/>
        <w:spacing w:after="150" w:line="240" w:lineRule="auto"/>
        <w:rPr>
          <w:rFonts w:ascii="Arial" w:eastAsia="Times New Roman" w:hAnsi="Arial" w:cs="Arial"/>
          <w:color w:val="333333"/>
          <w:sz w:val="21"/>
          <w:szCs w:val="21"/>
          <w:lang w:eastAsia="en-GB"/>
        </w:rPr>
      </w:pPr>
      <w:proofErr w:type="spellStart"/>
      <w:r w:rsidRPr="00AC3C1E">
        <w:rPr>
          <w:rFonts w:ascii="Arial" w:eastAsia="Times New Roman" w:hAnsi="Arial" w:cs="Arial"/>
          <w:color w:val="333333"/>
          <w:sz w:val="21"/>
          <w:szCs w:val="21"/>
          <w:lang w:eastAsia="en-GB"/>
        </w:rPr>
        <w:t>CoPS</w:t>
      </w:r>
      <w:proofErr w:type="spellEnd"/>
      <w:r w:rsidRPr="00AC3C1E">
        <w:rPr>
          <w:rFonts w:ascii="Arial" w:eastAsia="Times New Roman" w:hAnsi="Arial" w:cs="Arial"/>
          <w:color w:val="333333"/>
          <w:sz w:val="21"/>
          <w:szCs w:val="21"/>
          <w:lang w:eastAsia="en-GB"/>
        </w:rPr>
        <w:t xml:space="preserve"> 4-7 pinpoints specific areas of need and gives a more detailed indication of a pupil’s particular strengths and weaknesses that may impact learning. It comprises nine short tests which cover working memory, phonological awareness, phonological processing, auditory discrimination and colour discrimination. </w:t>
      </w:r>
    </w:p>
    <w:p w:rsidR="00AC3C1E" w:rsidRPr="00AC3C1E" w:rsidRDefault="00AC3C1E" w:rsidP="00AC3C1E">
      <w:pPr>
        <w:shd w:val="clear" w:color="auto" w:fill="FFFFFF"/>
        <w:spacing w:after="150" w:line="240" w:lineRule="auto"/>
        <w:rPr>
          <w:rFonts w:ascii="Arial" w:eastAsia="Times New Roman" w:hAnsi="Arial" w:cs="Arial"/>
          <w:color w:val="333333"/>
          <w:sz w:val="21"/>
          <w:szCs w:val="21"/>
          <w:lang w:eastAsia="en-GB"/>
        </w:rPr>
      </w:pPr>
      <w:r w:rsidRPr="00AC3C1E">
        <w:rPr>
          <w:rFonts w:ascii="Arial" w:eastAsia="Times New Roman" w:hAnsi="Arial" w:cs="Arial"/>
          <w:color w:val="333333"/>
          <w:sz w:val="21"/>
          <w:szCs w:val="21"/>
          <w:lang w:eastAsia="en-GB"/>
        </w:rPr>
        <w:t>Each individual test is presented as an attractive and enjoyable game that takes about five minutes to complete. Results, in the form of graphical profiles and individual response records, clearly show children's strengths and weaknesses in comparison with national norms. Percentiles, standard scores and age equivalent scores are provided. </w:t>
      </w:r>
    </w:p>
    <w:p w:rsidR="00AC3C1E" w:rsidRDefault="00AC3C1E" w:rsidP="00AC3C1E">
      <w:pPr>
        <w:shd w:val="clear" w:color="auto" w:fill="FFFFFF"/>
        <w:spacing w:line="240" w:lineRule="auto"/>
        <w:rPr>
          <w:rFonts w:ascii="Arial" w:eastAsia="Times New Roman" w:hAnsi="Arial" w:cs="Arial"/>
          <w:color w:val="333333"/>
          <w:sz w:val="21"/>
          <w:szCs w:val="21"/>
          <w:lang w:eastAsia="en-GB"/>
        </w:rPr>
      </w:pPr>
      <w:proofErr w:type="spellStart"/>
      <w:r w:rsidRPr="00AC3C1E">
        <w:rPr>
          <w:rFonts w:ascii="Arial" w:eastAsia="Times New Roman" w:hAnsi="Arial" w:cs="Arial"/>
          <w:color w:val="333333"/>
          <w:sz w:val="21"/>
          <w:szCs w:val="21"/>
          <w:lang w:eastAsia="en-GB"/>
        </w:rPr>
        <w:t>CoPS</w:t>
      </w:r>
      <w:proofErr w:type="spellEnd"/>
      <w:r w:rsidRPr="00AC3C1E">
        <w:rPr>
          <w:rFonts w:ascii="Arial" w:eastAsia="Times New Roman" w:hAnsi="Arial" w:cs="Arial"/>
          <w:color w:val="333333"/>
          <w:sz w:val="21"/>
          <w:szCs w:val="21"/>
          <w:lang w:eastAsia="en-GB"/>
        </w:rPr>
        <w:t xml:space="preserve"> 4-7 is accompanied by a comprehensive teacher's manual that explains how to interpret the results so that teaching and learning can be tailored to suit the needs of individual children. Suggestions for a wide variety of teaching strategies are included.</w:t>
      </w:r>
    </w:p>
    <w:p w:rsidR="00AC3C1E" w:rsidRDefault="00AC3C1E" w:rsidP="00AC3C1E">
      <w:pPr>
        <w:shd w:val="clear" w:color="auto" w:fill="FFFFFF"/>
        <w:spacing w:line="240" w:lineRule="auto"/>
        <w:rPr>
          <w:rFonts w:ascii="Arial" w:eastAsia="Times New Roman" w:hAnsi="Arial" w:cs="Arial"/>
          <w:color w:val="333333"/>
          <w:sz w:val="21"/>
          <w:szCs w:val="21"/>
          <w:lang w:eastAsia="en-GB"/>
        </w:rPr>
      </w:pPr>
    </w:p>
    <w:p w:rsidR="00AC3C1E" w:rsidRDefault="00AC3C1E" w:rsidP="00AC3C1E">
      <w:pPr>
        <w:pStyle w:val="Heading3"/>
        <w:shd w:val="clear" w:color="auto" w:fill="E1615B"/>
        <w:spacing w:before="0" w:after="300"/>
        <w:ind w:left="-300" w:right="-300"/>
        <w:rPr>
          <w:rFonts w:ascii="Arial" w:hAnsi="Arial" w:cs="Arial"/>
          <w:color w:val="FFFFFF"/>
          <w:spacing w:val="20"/>
          <w:sz w:val="32"/>
          <w:szCs w:val="32"/>
        </w:rPr>
      </w:pPr>
      <w:proofErr w:type="spellStart"/>
      <w:r>
        <w:rPr>
          <w:rFonts w:ascii="Arial" w:hAnsi="Arial" w:cs="Arial"/>
          <w:b/>
          <w:bCs/>
          <w:color w:val="FFFFFF"/>
          <w:spacing w:val="20"/>
          <w:sz w:val="32"/>
          <w:szCs w:val="32"/>
        </w:rPr>
        <w:t>CoPS</w:t>
      </w:r>
      <w:proofErr w:type="spellEnd"/>
      <w:r>
        <w:rPr>
          <w:rFonts w:ascii="Arial" w:hAnsi="Arial" w:cs="Arial"/>
          <w:b/>
          <w:bCs/>
          <w:color w:val="FFFFFF"/>
          <w:spacing w:val="20"/>
          <w:sz w:val="32"/>
          <w:szCs w:val="32"/>
        </w:rPr>
        <w:t xml:space="preserve"> 4-7 assesses:</w:t>
      </w:r>
    </w:p>
    <w:p w:rsidR="00AC3C1E" w:rsidRDefault="00AC3C1E" w:rsidP="00AC3C1E">
      <w:pPr>
        <w:numPr>
          <w:ilvl w:val="0"/>
          <w:numId w:val="3"/>
        </w:numPr>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Working memory</w:t>
      </w:r>
    </w:p>
    <w:p w:rsidR="00AC3C1E" w:rsidRDefault="00AC3C1E" w:rsidP="00AC3C1E">
      <w:pPr>
        <w:numPr>
          <w:ilvl w:val="0"/>
          <w:numId w:val="3"/>
        </w:numPr>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Phonological awareness</w:t>
      </w:r>
    </w:p>
    <w:p w:rsidR="00AC3C1E" w:rsidRDefault="00AC3C1E" w:rsidP="00AC3C1E">
      <w:pPr>
        <w:numPr>
          <w:ilvl w:val="0"/>
          <w:numId w:val="3"/>
        </w:numPr>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Phonological processing</w:t>
      </w:r>
    </w:p>
    <w:p w:rsidR="00AC3C1E" w:rsidRDefault="00AC3C1E" w:rsidP="00AC3C1E">
      <w:pPr>
        <w:numPr>
          <w:ilvl w:val="0"/>
          <w:numId w:val="3"/>
        </w:numPr>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Auditory discrimination</w:t>
      </w:r>
    </w:p>
    <w:p w:rsidR="00AC3C1E" w:rsidRDefault="00AC3C1E" w:rsidP="00AC3C1E">
      <w:pPr>
        <w:numPr>
          <w:ilvl w:val="0"/>
          <w:numId w:val="3"/>
        </w:numPr>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Colour discrimination</w:t>
      </w:r>
    </w:p>
    <w:p w:rsidR="00AC3C1E" w:rsidRPr="00AC3C1E" w:rsidRDefault="00AC3C1E" w:rsidP="00AC3C1E">
      <w:pPr>
        <w:shd w:val="clear" w:color="auto" w:fill="FFFFFF"/>
        <w:spacing w:line="240" w:lineRule="auto"/>
        <w:rPr>
          <w:rFonts w:ascii="Arial" w:eastAsia="Times New Roman" w:hAnsi="Arial" w:cs="Arial"/>
          <w:color w:val="333333"/>
          <w:sz w:val="21"/>
          <w:szCs w:val="21"/>
          <w:lang w:eastAsia="en-GB"/>
        </w:rPr>
      </w:pPr>
    </w:p>
    <w:tbl>
      <w:tblPr>
        <w:tblW w:w="16500" w:type="dxa"/>
        <w:tblCellMar>
          <w:top w:w="15" w:type="dxa"/>
          <w:left w:w="15" w:type="dxa"/>
          <w:bottom w:w="15" w:type="dxa"/>
          <w:right w:w="15" w:type="dxa"/>
        </w:tblCellMar>
        <w:tblLook w:val="04A0" w:firstRow="1" w:lastRow="0" w:firstColumn="1" w:lastColumn="0" w:noHBand="0" w:noVBand="1"/>
      </w:tblPr>
      <w:tblGrid>
        <w:gridCol w:w="3300"/>
        <w:gridCol w:w="13200"/>
      </w:tblGrid>
      <w:tr w:rsidR="00AC3C1E" w:rsidRPr="00AC3C1E" w:rsidTr="00AC3C1E">
        <w:trPr>
          <w:trHeight w:val="1050"/>
        </w:trPr>
        <w:tc>
          <w:tcPr>
            <w:tcW w:w="3300" w:type="dxa"/>
            <w:shd w:val="clear" w:color="auto" w:fill="auto"/>
            <w:tcMar>
              <w:top w:w="75" w:type="dxa"/>
              <w:left w:w="150" w:type="dxa"/>
              <w:bottom w:w="75" w:type="dxa"/>
              <w:right w:w="150" w:type="dxa"/>
            </w:tcMar>
            <w:vAlign w:val="center"/>
            <w:hideMark/>
          </w:tcPr>
          <w:p w:rsidR="00AC3C1E" w:rsidRPr="00AC3C1E" w:rsidRDefault="00AC3C1E" w:rsidP="00AC3C1E">
            <w:pPr>
              <w:spacing w:after="0" w:line="240" w:lineRule="auto"/>
              <w:rPr>
                <w:rFonts w:ascii="Arial" w:eastAsia="Times New Roman" w:hAnsi="Arial" w:cs="Arial"/>
                <w:sz w:val="24"/>
                <w:szCs w:val="24"/>
                <w:lang w:eastAsia="en-GB"/>
              </w:rPr>
            </w:pPr>
            <w:r w:rsidRPr="00AC3C1E">
              <w:rPr>
                <w:rFonts w:ascii="Arial" w:eastAsia="Times New Roman" w:hAnsi="Arial" w:cs="Arial"/>
                <w:noProof/>
                <w:sz w:val="24"/>
                <w:szCs w:val="24"/>
                <w:lang w:eastAsia="en-GB"/>
              </w:rPr>
              <w:drawing>
                <wp:inline distT="0" distB="0" distL="0" distR="0">
                  <wp:extent cx="1674495" cy="760095"/>
                  <wp:effectExtent l="0" t="0" r="1905" b="1905"/>
                  <wp:docPr id="3" name="Picture 3" descr="British Dyslexia Association Assu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mcenew" descr="British Dyslexia Association Assure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4495" cy="760095"/>
                          </a:xfrm>
                          <a:prstGeom prst="rect">
                            <a:avLst/>
                          </a:prstGeom>
                          <a:noFill/>
                          <a:ln>
                            <a:noFill/>
                          </a:ln>
                        </pic:spPr>
                      </pic:pic>
                    </a:graphicData>
                  </a:graphic>
                </wp:inline>
              </w:drawing>
            </w:r>
          </w:p>
        </w:tc>
        <w:tc>
          <w:tcPr>
            <w:tcW w:w="13200" w:type="dxa"/>
            <w:shd w:val="clear" w:color="auto" w:fill="auto"/>
            <w:tcMar>
              <w:top w:w="75" w:type="dxa"/>
              <w:left w:w="150" w:type="dxa"/>
              <w:bottom w:w="75" w:type="dxa"/>
              <w:right w:w="150" w:type="dxa"/>
            </w:tcMar>
            <w:vAlign w:val="center"/>
            <w:hideMark/>
          </w:tcPr>
          <w:p w:rsidR="00AC3C1E" w:rsidRPr="00AC3C1E" w:rsidRDefault="00AC3C1E" w:rsidP="00AC3C1E">
            <w:pPr>
              <w:spacing w:after="0" w:line="240" w:lineRule="auto"/>
              <w:rPr>
                <w:rFonts w:ascii="Arial" w:eastAsia="Times New Roman" w:hAnsi="Arial" w:cs="Arial"/>
                <w:sz w:val="24"/>
                <w:szCs w:val="24"/>
                <w:lang w:eastAsia="en-GB"/>
              </w:rPr>
            </w:pPr>
            <w:r w:rsidRPr="00AC3C1E">
              <w:rPr>
                <w:rFonts w:ascii="Arial" w:eastAsia="Times New Roman" w:hAnsi="Arial" w:cs="Arial"/>
                <w:sz w:val="21"/>
                <w:szCs w:val="21"/>
                <w:lang w:eastAsia="en-GB"/>
              </w:rPr>
              <w:t>This assessment has British Dyslexia Association Assured status</w:t>
            </w:r>
          </w:p>
        </w:tc>
      </w:tr>
    </w:tbl>
    <w:p w:rsidR="00C953B8" w:rsidRDefault="00C953B8"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AC3C1E">
      <w:pPr>
        <w:tabs>
          <w:tab w:val="left" w:pos="1309"/>
        </w:tabs>
      </w:pPr>
    </w:p>
    <w:p w:rsidR="006C224D" w:rsidRDefault="006C224D" w:rsidP="006C224D">
      <w:pPr>
        <w:pStyle w:val="Heading1"/>
        <w:shd w:val="clear" w:color="auto" w:fill="E1615B"/>
        <w:spacing w:before="0" w:beforeAutospacing="0" w:after="0" w:afterAutospacing="0"/>
        <w:rPr>
          <w:rFonts w:ascii="Arial" w:hAnsi="Arial" w:cs="Arial"/>
          <w:b w:val="0"/>
          <w:bCs w:val="0"/>
          <w:color w:val="FFFFFF"/>
          <w:spacing w:val="20"/>
          <w:sz w:val="32"/>
          <w:szCs w:val="32"/>
        </w:rPr>
      </w:pPr>
      <w:r>
        <w:rPr>
          <w:rFonts w:ascii="Arial" w:hAnsi="Arial" w:cs="Arial"/>
          <w:b w:val="0"/>
          <w:bCs w:val="0"/>
          <w:color w:val="FFFFFF"/>
          <w:spacing w:val="20"/>
          <w:sz w:val="32"/>
          <w:szCs w:val="32"/>
        </w:rPr>
        <w:t>Lucid LASS 8-11</w:t>
      </w:r>
    </w:p>
    <w:p w:rsidR="006C224D" w:rsidRDefault="006C224D" w:rsidP="006C224D">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The outcome of comprehensive research at the University of Hull and originally published in 2001, Lucid LASS 8-11 is widely used by schools in the UK and internationally. Working with the original authors, LASS 8-11 has been updated, re-standardised and is now available online on our GL Ready platform. </w:t>
      </w:r>
    </w:p>
    <w:p w:rsidR="006C224D" w:rsidRDefault="006C224D" w:rsidP="006C224D">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LASS 8-11 pinpoints specific areas of need and is taken by pupils who have a high probability of dyslexia. It gives a more detailed indication of a pupil’s particular strengths and weaknesses that may impact reading.</w:t>
      </w:r>
    </w:p>
    <w:p w:rsidR="006C224D" w:rsidRDefault="006C224D" w:rsidP="006C224D">
      <w:pPr>
        <w:pStyle w:val="NormalWeb"/>
        <w:shd w:val="clear" w:color="auto" w:fill="FFFFFF"/>
        <w:spacing w:before="0" w:beforeAutospacing="0" w:after="150" w:afterAutospacing="0"/>
        <w:rPr>
          <w:rFonts w:ascii="Arial" w:hAnsi="Arial" w:cs="Arial"/>
          <w:color w:val="333333"/>
          <w:sz w:val="21"/>
          <w:szCs w:val="21"/>
        </w:rPr>
      </w:pPr>
      <w:bookmarkStart w:id="0" w:name="_GoBack"/>
      <w:bookmarkEnd w:id="0"/>
      <w:r>
        <w:rPr>
          <w:rFonts w:ascii="Arial" w:hAnsi="Arial" w:cs="Arial"/>
          <w:color w:val="333333"/>
          <w:sz w:val="21"/>
          <w:szCs w:val="21"/>
        </w:rPr>
        <w:t>LASS 8-11 assesses:</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Working memory</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Phonological awareness</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Phonological processing </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Reasoning</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Single word, sentence and non-word reading</w:t>
      </w:r>
    </w:p>
    <w:p w:rsidR="006C224D" w:rsidRDefault="006C224D" w:rsidP="006C224D">
      <w:pPr>
        <w:numPr>
          <w:ilvl w:val="0"/>
          <w:numId w:val="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Spelling</w:t>
      </w:r>
    </w:p>
    <w:tbl>
      <w:tblPr>
        <w:tblW w:w="16500" w:type="dxa"/>
        <w:tblCellMar>
          <w:top w:w="15" w:type="dxa"/>
          <w:left w:w="15" w:type="dxa"/>
          <w:bottom w:w="15" w:type="dxa"/>
          <w:right w:w="15" w:type="dxa"/>
        </w:tblCellMar>
        <w:tblLook w:val="04A0" w:firstRow="1" w:lastRow="0" w:firstColumn="1" w:lastColumn="0" w:noHBand="0" w:noVBand="1"/>
      </w:tblPr>
      <w:tblGrid>
        <w:gridCol w:w="3300"/>
        <w:gridCol w:w="13200"/>
      </w:tblGrid>
      <w:tr w:rsidR="006C224D" w:rsidTr="006C224D">
        <w:trPr>
          <w:trHeight w:val="1050"/>
        </w:trPr>
        <w:tc>
          <w:tcPr>
            <w:tcW w:w="3300" w:type="dxa"/>
            <w:shd w:val="clear" w:color="auto" w:fill="auto"/>
            <w:tcMar>
              <w:top w:w="75" w:type="dxa"/>
              <w:left w:w="150" w:type="dxa"/>
              <w:bottom w:w="75" w:type="dxa"/>
              <w:right w:w="150" w:type="dxa"/>
            </w:tcMar>
            <w:vAlign w:val="center"/>
            <w:hideMark/>
          </w:tcPr>
          <w:p w:rsidR="006C224D" w:rsidRDefault="006C224D">
            <w:pPr>
              <w:spacing w:after="0"/>
              <w:rPr>
                <w:rFonts w:ascii="Arial" w:hAnsi="Arial" w:cs="Arial"/>
                <w:sz w:val="24"/>
                <w:szCs w:val="24"/>
              </w:rPr>
            </w:pPr>
            <w:r>
              <w:rPr>
                <w:rFonts w:ascii="Arial" w:hAnsi="Arial" w:cs="Arial"/>
                <w:noProof/>
                <w:lang w:eastAsia="en-GB"/>
              </w:rPr>
              <w:drawing>
                <wp:inline distT="0" distB="0" distL="0" distR="0">
                  <wp:extent cx="1674495" cy="760095"/>
                  <wp:effectExtent l="0" t="0" r="1905" b="1905"/>
                  <wp:docPr id="4" name="Picture 4" descr="British Dyslexia Association Assu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mcenew" descr="British Dyslexia Association Assure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4495" cy="760095"/>
                          </a:xfrm>
                          <a:prstGeom prst="rect">
                            <a:avLst/>
                          </a:prstGeom>
                          <a:noFill/>
                          <a:ln>
                            <a:noFill/>
                          </a:ln>
                        </pic:spPr>
                      </pic:pic>
                    </a:graphicData>
                  </a:graphic>
                </wp:inline>
              </w:drawing>
            </w:r>
          </w:p>
        </w:tc>
        <w:tc>
          <w:tcPr>
            <w:tcW w:w="13200" w:type="dxa"/>
            <w:shd w:val="clear" w:color="auto" w:fill="auto"/>
            <w:tcMar>
              <w:top w:w="75" w:type="dxa"/>
              <w:left w:w="150" w:type="dxa"/>
              <w:bottom w:w="75" w:type="dxa"/>
              <w:right w:w="150" w:type="dxa"/>
            </w:tcMar>
            <w:vAlign w:val="center"/>
            <w:hideMark/>
          </w:tcPr>
          <w:p w:rsidR="006C224D" w:rsidRDefault="006C224D">
            <w:pPr>
              <w:rPr>
                <w:rFonts w:ascii="Arial" w:hAnsi="Arial" w:cs="Arial"/>
              </w:rPr>
            </w:pPr>
            <w:r>
              <w:rPr>
                <w:rFonts w:ascii="Arial" w:hAnsi="Arial" w:cs="Arial"/>
                <w:sz w:val="21"/>
                <w:szCs w:val="21"/>
              </w:rPr>
              <w:t>This assessment has British Dyslexia Association Assured status</w:t>
            </w:r>
          </w:p>
        </w:tc>
      </w:tr>
    </w:tbl>
    <w:p w:rsidR="006C224D" w:rsidRPr="00AC3C1E" w:rsidRDefault="006C224D" w:rsidP="00AC3C1E">
      <w:pPr>
        <w:tabs>
          <w:tab w:val="left" w:pos="1309"/>
        </w:tabs>
      </w:pPr>
    </w:p>
    <w:sectPr w:rsidR="006C224D" w:rsidRPr="00AC3C1E" w:rsidSect="00AC3C1E">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F5B58"/>
    <w:multiLevelType w:val="multilevel"/>
    <w:tmpl w:val="F64E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EE40F0"/>
    <w:multiLevelType w:val="multilevel"/>
    <w:tmpl w:val="1614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7E0346"/>
    <w:multiLevelType w:val="multilevel"/>
    <w:tmpl w:val="9D0E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D276A4"/>
    <w:multiLevelType w:val="multilevel"/>
    <w:tmpl w:val="A218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C1E"/>
    <w:rsid w:val="006C224D"/>
    <w:rsid w:val="00AC3C1E"/>
    <w:rsid w:val="00C9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7110EC-3BB6-4EF7-BB58-9AC4CB15C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C3C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C3C1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3C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C3C1E"/>
    <w:rPr>
      <w:color w:val="0000FF"/>
      <w:u w:val="single"/>
    </w:rPr>
  </w:style>
  <w:style w:type="character" w:customStyle="1" w:styleId="Heading1Char">
    <w:name w:val="Heading 1 Char"/>
    <w:basedOn w:val="DefaultParagraphFont"/>
    <w:link w:val="Heading1"/>
    <w:uiPriority w:val="9"/>
    <w:rsid w:val="00AC3C1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AC3C1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2411">
      <w:bodyDiv w:val="1"/>
      <w:marLeft w:val="0"/>
      <w:marRight w:val="0"/>
      <w:marTop w:val="0"/>
      <w:marBottom w:val="0"/>
      <w:divBdr>
        <w:top w:val="none" w:sz="0" w:space="0" w:color="auto"/>
        <w:left w:val="none" w:sz="0" w:space="0" w:color="auto"/>
        <w:bottom w:val="none" w:sz="0" w:space="0" w:color="auto"/>
        <w:right w:val="none" w:sz="0" w:space="0" w:color="auto"/>
      </w:divBdr>
      <w:divsChild>
        <w:div w:id="1355107363">
          <w:marLeft w:val="0"/>
          <w:marRight w:val="0"/>
          <w:marTop w:val="0"/>
          <w:marBottom w:val="600"/>
          <w:divBdr>
            <w:top w:val="none" w:sz="0" w:space="0" w:color="auto"/>
            <w:left w:val="none" w:sz="0" w:space="0" w:color="auto"/>
            <w:bottom w:val="none" w:sz="0" w:space="0" w:color="auto"/>
            <w:right w:val="none" w:sz="0" w:space="0" w:color="auto"/>
          </w:divBdr>
        </w:div>
        <w:div w:id="473378125">
          <w:marLeft w:val="0"/>
          <w:marRight w:val="0"/>
          <w:marTop w:val="0"/>
          <w:marBottom w:val="600"/>
          <w:divBdr>
            <w:top w:val="none" w:sz="0" w:space="0" w:color="auto"/>
            <w:left w:val="none" w:sz="0" w:space="0" w:color="auto"/>
            <w:bottom w:val="none" w:sz="0" w:space="0" w:color="auto"/>
            <w:right w:val="none" w:sz="0" w:space="0" w:color="auto"/>
          </w:divBdr>
        </w:div>
      </w:divsChild>
    </w:div>
    <w:div w:id="228007268">
      <w:bodyDiv w:val="1"/>
      <w:marLeft w:val="0"/>
      <w:marRight w:val="0"/>
      <w:marTop w:val="0"/>
      <w:marBottom w:val="0"/>
      <w:divBdr>
        <w:top w:val="none" w:sz="0" w:space="0" w:color="auto"/>
        <w:left w:val="none" w:sz="0" w:space="0" w:color="auto"/>
        <w:bottom w:val="none" w:sz="0" w:space="0" w:color="auto"/>
        <w:right w:val="none" w:sz="0" w:space="0" w:color="auto"/>
      </w:divBdr>
      <w:divsChild>
        <w:div w:id="2041583144">
          <w:marLeft w:val="0"/>
          <w:marRight w:val="0"/>
          <w:marTop w:val="0"/>
          <w:marBottom w:val="600"/>
          <w:divBdr>
            <w:top w:val="none" w:sz="0" w:space="0" w:color="auto"/>
            <w:left w:val="none" w:sz="0" w:space="0" w:color="auto"/>
            <w:bottom w:val="none" w:sz="0" w:space="0" w:color="auto"/>
            <w:right w:val="none" w:sz="0" w:space="0" w:color="auto"/>
          </w:divBdr>
        </w:div>
        <w:div w:id="2029479787">
          <w:marLeft w:val="0"/>
          <w:marRight w:val="0"/>
          <w:marTop w:val="0"/>
          <w:marBottom w:val="600"/>
          <w:divBdr>
            <w:top w:val="none" w:sz="0" w:space="0" w:color="auto"/>
            <w:left w:val="none" w:sz="0" w:space="0" w:color="auto"/>
            <w:bottom w:val="none" w:sz="0" w:space="0" w:color="auto"/>
            <w:right w:val="none" w:sz="0" w:space="0" w:color="auto"/>
          </w:divBdr>
        </w:div>
      </w:divsChild>
    </w:div>
    <w:div w:id="965041927">
      <w:bodyDiv w:val="1"/>
      <w:marLeft w:val="0"/>
      <w:marRight w:val="0"/>
      <w:marTop w:val="0"/>
      <w:marBottom w:val="0"/>
      <w:divBdr>
        <w:top w:val="none" w:sz="0" w:space="0" w:color="auto"/>
        <w:left w:val="none" w:sz="0" w:space="0" w:color="auto"/>
        <w:bottom w:val="none" w:sz="0" w:space="0" w:color="auto"/>
        <w:right w:val="none" w:sz="0" w:space="0" w:color="auto"/>
      </w:divBdr>
      <w:divsChild>
        <w:div w:id="1848445805">
          <w:marLeft w:val="0"/>
          <w:marRight w:val="0"/>
          <w:marTop w:val="0"/>
          <w:marBottom w:val="600"/>
          <w:divBdr>
            <w:top w:val="none" w:sz="0" w:space="0" w:color="auto"/>
            <w:left w:val="none" w:sz="0" w:space="0" w:color="auto"/>
            <w:bottom w:val="none" w:sz="0" w:space="0" w:color="auto"/>
            <w:right w:val="none" w:sz="0" w:space="0" w:color="auto"/>
          </w:divBdr>
        </w:div>
        <w:div w:id="1743793463">
          <w:marLeft w:val="0"/>
          <w:marRight w:val="0"/>
          <w:marTop w:val="0"/>
          <w:marBottom w:val="600"/>
          <w:divBdr>
            <w:top w:val="none" w:sz="0" w:space="0" w:color="auto"/>
            <w:left w:val="none" w:sz="0" w:space="0" w:color="auto"/>
            <w:bottom w:val="none" w:sz="0" w:space="0" w:color="auto"/>
            <w:right w:val="none" w:sz="0" w:space="0" w:color="auto"/>
          </w:divBdr>
        </w:div>
      </w:divsChild>
    </w:div>
    <w:div w:id="1093087621">
      <w:bodyDiv w:val="1"/>
      <w:marLeft w:val="0"/>
      <w:marRight w:val="0"/>
      <w:marTop w:val="0"/>
      <w:marBottom w:val="0"/>
      <w:divBdr>
        <w:top w:val="none" w:sz="0" w:space="0" w:color="auto"/>
        <w:left w:val="none" w:sz="0" w:space="0" w:color="auto"/>
        <w:bottom w:val="none" w:sz="0" w:space="0" w:color="auto"/>
        <w:right w:val="none" w:sz="0" w:space="0" w:color="auto"/>
      </w:divBdr>
      <w:divsChild>
        <w:div w:id="1681658524">
          <w:marLeft w:val="0"/>
          <w:marRight w:val="0"/>
          <w:marTop w:val="0"/>
          <w:marBottom w:val="600"/>
          <w:divBdr>
            <w:top w:val="none" w:sz="0" w:space="0" w:color="auto"/>
            <w:left w:val="none" w:sz="0" w:space="0" w:color="auto"/>
            <w:bottom w:val="none" w:sz="0" w:space="0" w:color="auto"/>
            <w:right w:val="none" w:sz="0" w:space="0" w:color="auto"/>
          </w:divBdr>
        </w:div>
        <w:div w:id="1115323219">
          <w:marLeft w:val="0"/>
          <w:marRight w:val="0"/>
          <w:marTop w:val="0"/>
          <w:marBottom w:val="600"/>
          <w:divBdr>
            <w:top w:val="none" w:sz="0" w:space="0" w:color="auto"/>
            <w:left w:val="none" w:sz="0" w:space="0" w:color="auto"/>
            <w:bottom w:val="none" w:sz="0" w:space="0" w:color="auto"/>
            <w:right w:val="none" w:sz="0" w:space="0" w:color="auto"/>
          </w:divBdr>
        </w:div>
      </w:divsChild>
    </w:div>
    <w:div w:id="134146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Jones</dc:creator>
  <cp:keywords/>
  <dc:description/>
  <cp:lastModifiedBy>Alex Jones</cp:lastModifiedBy>
  <cp:revision>2</cp:revision>
  <dcterms:created xsi:type="dcterms:W3CDTF">2020-02-24T10:58:00Z</dcterms:created>
  <dcterms:modified xsi:type="dcterms:W3CDTF">2020-02-24T11:02:00Z</dcterms:modified>
</cp:coreProperties>
</file>